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7B" w:rsidRPr="0023567B" w:rsidRDefault="0023567B" w:rsidP="00832CD0">
      <w:pPr>
        <w:pStyle w:val="NoSpacing"/>
        <w:rPr>
          <w:b/>
        </w:rPr>
      </w:pPr>
      <w:r w:rsidRPr="0023567B">
        <w:rPr>
          <w:b/>
        </w:rPr>
        <w:t>Environmental Public Health</w:t>
      </w:r>
    </w:p>
    <w:p w:rsidR="0023567B" w:rsidRDefault="0023567B" w:rsidP="00832CD0">
      <w:pPr>
        <w:pStyle w:val="NoSpacing"/>
      </w:pPr>
    </w:p>
    <w:p w:rsidR="0028019A" w:rsidRPr="0023567B" w:rsidRDefault="00832CD0" w:rsidP="00832CD0">
      <w:pPr>
        <w:pStyle w:val="NoSpacing"/>
        <w:rPr>
          <w:b/>
        </w:rPr>
      </w:pPr>
      <w:r w:rsidRPr="0023567B">
        <w:rPr>
          <w:b/>
        </w:rPr>
        <w:t>Number of Licensed/Inspected Facilities by Type</w:t>
      </w:r>
    </w:p>
    <w:p w:rsidR="00832CD0" w:rsidRDefault="00832CD0" w:rsidP="00832CD0">
      <w:pPr>
        <w:pStyle w:val="NoSpacing"/>
      </w:pPr>
      <w:r>
        <w:tab/>
        <w:t>Body Art</w:t>
      </w:r>
      <w:r w:rsidR="00384F38">
        <w:t xml:space="preserve"> Establishments</w:t>
      </w:r>
      <w:r>
        <w:tab/>
        <w:t>15</w:t>
      </w:r>
    </w:p>
    <w:p w:rsidR="00384F38" w:rsidRDefault="00384F38" w:rsidP="00832CD0">
      <w:pPr>
        <w:pStyle w:val="NoSpacing"/>
      </w:pPr>
      <w:r>
        <w:tab/>
      </w:r>
      <w:r>
        <w:tab/>
        <w:t>Certification and licensing body art technicians</w:t>
      </w:r>
      <w:r>
        <w:tab/>
        <w:t>38</w:t>
      </w:r>
    </w:p>
    <w:p w:rsidR="00832CD0" w:rsidRDefault="00832CD0" w:rsidP="00832CD0">
      <w:pPr>
        <w:pStyle w:val="NoSpacing"/>
      </w:pPr>
      <w:r>
        <w:tab/>
        <w:t>Campgrounds</w:t>
      </w:r>
      <w:r w:rsidR="00384F38">
        <w:tab/>
      </w:r>
      <w:r w:rsidR="00384F38">
        <w:tab/>
      </w:r>
      <w:r>
        <w:tab/>
        <w:t>6</w:t>
      </w:r>
    </w:p>
    <w:p w:rsidR="00832CD0" w:rsidRDefault="00832CD0" w:rsidP="00832CD0">
      <w:pPr>
        <w:pStyle w:val="NoSpacing"/>
      </w:pPr>
      <w:r>
        <w:tab/>
        <w:t>Food Facilities</w:t>
      </w:r>
      <w:r w:rsidR="00384F38">
        <w:tab/>
      </w:r>
      <w:r w:rsidR="00384F38">
        <w:tab/>
      </w:r>
      <w:r>
        <w:tab/>
        <w:t>454</w:t>
      </w:r>
    </w:p>
    <w:p w:rsidR="00384F38" w:rsidRDefault="00384F38" w:rsidP="00832CD0">
      <w:pPr>
        <w:pStyle w:val="NoSpacing"/>
      </w:pPr>
      <w:r>
        <w:tab/>
      </w:r>
      <w:r>
        <w:tab/>
        <w:t xml:space="preserve">Biannual </w:t>
      </w:r>
      <w:r w:rsidR="000F5338">
        <w:t xml:space="preserve">Food Service </w:t>
      </w:r>
      <w:r>
        <w:t xml:space="preserve">Manager Certification training </w:t>
      </w:r>
    </w:p>
    <w:p w:rsidR="00832CD0" w:rsidRDefault="00832CD0" w:rsidP="00832CD0">
      <w:pPr>
        <w:pStyle w:val="NoSpacing"/>
      </w:pPr>
      <w:r>
        <w:tab/>
        <w:t>Hotel/Motel</w:t>
      </w:r>
      <w:r w:rsidR="00384F38">
        <w:tab/>
      </w:r>
      <w:r w:rsidR="00384F38">
        <w:tab/>
      </w:r>
      <w:r>
        <w:tab/>
        <w:t>39</w:t>
      </w:r>
    </w:p>
    <w:p w:rsidR="00832CD0" w:rsidRDefault="00832CD0" w:rsidP="00832CD0">
      <w:pPr>
        <w:pStyle w:val="NoSpacing"/>
      </w:pPr>
      <w:r>
        <w:tab/>
        <w:t>Pool/Spa</w:t>
      </w:r>
      <w:r>
        <w:tab/>
      </w:r>
      <w:r w:rsidR="00384F38">
        <w:tab/>
      </w:r>
      <w:r w:rsidR="00384F38">
        <w:tab/>
      </w:r>
      <w:r>
        <w:t>87</w:t>
      </w:r>
    </w:p>
    <w:p w:rsidR="005F5083" w:rsidRDefault="005F5083" w:rsidP="00832CD0">
      <w:pPr>
        <w:pStyle w:val="NoSpacing"/>
      </w:pPr>
      <w:r>
        <w:tab/>
        <w:t>Childcare</w:t>
      </w:r>
      <w:r w:rsidR="009E794A">
        <w:tab/>
      </w:r>
      <w:r w:rsidR="009E794A">
        <w:tab/>
      </w:r>
      <w:r w:rsidR="009E794A">
        <w:tab/>
        <w:t>98</w:t>
      </w:r>
    </w:p>
    <w:p w:rsidR="00AD2A94" w:rsidRDefault="00CB43BA" w:rsidP="00832CD0">
      <w:pPr>
        <w:pStyle w:val="NoSpacing"/>
      </w:pPr>
      <w:r>
        <w:tab/>
        <w:t>Temporary Food Licenses</w:t>
      </w:r>
      <w:r w:rsidR="00AD2A94">
        <w:t xml:space="preserve"> by year</w:t>
      </w:r>
    </w:p>
    <w:p w:rsidR="00426B24" w:rsidRDefault="00426B24" w:rsidP="00832CD0">
      <w:pPr>
        <w:pStyle w:val="NoSpacing"/>
      </w:pPr>
      <w:r>
        <w:tab/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990"/>
        <w:gridCol w:w="990"/>
      </w:tblGrid>
      <w:tr w:rsidR="00426B24" w:rsidTr="001B1DBB">
        <w:tc>
          <w:tcPr>
            <w:tcW w:w="990" w:type="dxa"/>
          </w:tcPr>
          <w:p w:rsidR="00426B24" w:rsidRDefault="00426B24" w:rsidP="001B1DBB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990" w:type="dxa"/>
          </w:tcPr>
          <w:p w:rsidR="00426B24" w:rsidRDefault="00AC7AC5" w:rsidP="001B1DBB">
            <w:pPr>
              <w:pStyle w:val="NoSpacing"/>
              <w:jc w:val="center"/>
            </w:pPr>
            <w:r>
              <w:t>56</w:t>
            </w:r>
          </w:p>
        </w:tc>
      </w:tr>
      <w:tr w:rsidR="00426B24" w:rsidTr="001B1DBB">
        <w:tc>
          <w:tcPr>
            <w:tcW w:w="990" w:type="dxa"/>
          </w:tcPr>
          <w:p w:rsidR="00426B24" w:rsidRDefault="00426B24" w:rsidP="001B1DBB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990" w:type="dxa"/>
          </w:tcPr>
          <w:p w:rsidR="00426B24" w:rsidRDefault="00AC7AC5" w:rsidP="001B1DBB">
            <w:pPr>
              <w:pStyle w:val="NoSpacing"/>
              <w:jc w:val="center"/>
            </w:pPr>
            <w:r>
              <w:t>58</w:t>
            </w:r>
          </w:p>
        </w:tc>
      </w:tr>
      <w:tr w:rsidR="00426B24" w:rsidTr="001B1DBB">
        <w:tc>
          <w:tcPr>
            <w:tcW w:w="990" w:type="dxa"/>
          </w:tcPr>
          <w:p w:rsidR="00426B24" w:rsidRDefault="00426B24" w:rsidP="001B1DBB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990" w:type="dxa"/>
          </w:tcPr>
          <w:p w:rsidR="00426B24" w:rsidRDefault="007A26D6" w:rsidP="001B1DBB">
            <w:pPr>
              <w:pStyle w:val="NoSpacing"/>
              <w:jc w:val="center"/>
            </w:pPr>
            <w:r>
              <w:t>53</w:t>
            </w:r>
          </w:p>
        </w:tc>
      </w:tr>
      <w:tr w:rsidR="00426B24" w:rsidTr="001B1DBB">
        <w:tc>
          <w:tcPr>
            <w:tcW w:w="990" w:type="dxa"/>
          </w:tcPr>
          <w:p w:rsidR="00426B24" w:rsidRDefault="00426B24" w:rsidP="001B1DBB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990" w:type="dxa"/>
          </w:tcPr>
          <w:p w:rsidR="00426B24" w:rsidRDefault="007A26D6" w:rsidP="001B1DBB">
            <w:pPr>
              <w:pStyle w:val="NoSpacing"/>
              <w:jc w:val="center"/>
            </w:pPr>
            <w:r>
              <w:t>88</w:t>
            </w:r>
          </w:p>
        </w:tc>
      </w:tr>
      <w:tr w:rsidR="00426B24" w:rsidTr="001B1DBB">
        <w:trPr>
          <w:trHeight w:val="350"/>
        </w:trPr>
        <w:tc>
          <w:tcPr>
            <w:tcW w:w="990" w:type="dxa"/>
          </w:tcPr>
          <w:p w:rsidR="00426B24" w:rsidRDefault="00426B24" w:rsidP="001B1DBB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990" w:type="dxa"/>
          </w:tcPr>
          <w:p w:rsidR="00426B24" w:rsidRDefault="007A26D6" w:rsidP="001B1DBB">
            <w:pPr>
              <w:pStyle w:val="NoSpacing"/>
              <w:jc w:val="center"/>
            </w:pPr>
            <w:r>
              <w:t>111</w:t>
            </w:r>
          </w:p>
        </w:tc>
      </w:tr>
    </w:tbl>
    <w:p w:rsidR="009E794A" w:rsidRDefault="009E794A" w:rsidP="00832CD0">
      <w:pPr>
        <w:pStyle w:val="NoSpacing"/>
      </w:pPr>
    </w:p>
    <w:p w:rsidR="009E794A" w:rsidRDefault="009E794A" w:rsidP="009E794A">
      <w:pPr>
        <w:pStyle w:val="NoSpacing"/>
        <w:ind w:left="720"/>
      </w:pPr>
      <w:r>
        <w:t>Follow up and investigation of complaints of any licensed facility by the public. Include</w:t>
      </w:r>
      <w:r w:rsidR="00CB43BA">
        <w:t>s</w:t>
      </w:r>
      <w:r>
        <w:t xml:space="preserve"> possible foo</w:t>
      </w:r>
      <w:r w:rsidR="00475327">
        <w:t>d</w:t>
      </w:r>
      <w:r>
        <w:t xml:space="preserve">borne illness, unsanitary conditions, spoiled, contaminated, or </w:t>
      </w:r>
      <w:r w:rsidR="00475327">
        <w:t xml:space="preserve">adulterated food, bed bugs, </w:t>
      </w:r>
      <w:r w:rsidR="00CB43BA">
        <w:t xml:space="preserve">head lice, </w:t>
      </w:r>
      <w:r w:rsidR="00475327">
        <w:t>illnesses in daycares.</w:t>
      </w:r>
    </w:p>
    <w:p w:rsidR="00475327" w:rsidRDefault="00475327" w:rsidP="009E794A">
      <w:pPr>
        <w:pStyle w:val="NoSpacing"/>
        <w:ind w:left="720"/>
      </w:pPr>
      <w:r>
        <w:t>Plan reviews of new and remodeled facilities to verify compliance with construction standards required by regulations.</w:t>
      </w:r>
    </w:p>
    <w:p w:rsidR="00832CD0" w:rsidRDefault="00832CD0" w:rsidP="00832CD0">
      <w:pPr>
        <w:pStyle w:val="NoSpacing"/>
      </w:pPr>
    </w:p>
    <w:p w:rsidR="00832CD0" w:rsidRPr="0023567B" w:rsidRDefault="00384F38" w:rsidP="00832CD0">
      <w:pPr>
        <w:pStyle w:val="NoSpacing"/>
        <w:rPr>
          <w:b/>
        </w:rPr>
      </w:pPr>
      <w:r w:rsidRPr="0023567B">
        <w:rPr>
          <w:b/>
        </w:rPr>
        <w:t>Small Wastewater</w:t>
      </w:r>
      <w:r w:rsidR="0023567B">
        <w:rPr>
          <w:b/>
        </w:rPr>
        <w:t xml:space="preserve"> (Septic System Installation)</w:t>
      </w:r>
    </w:p>
    <w:p w:rsidR="00384F38" w:rsidRDefault="00384F38" w:rsidP="00832CD0">
      <w:pPr>
        <w:pStyle w:val="NoSpacing"/>
      </w:pPr>
      <w:r>
        <w:tab/>
        <w:t xml:space="preserve">Site evaluation, design review, </w:t>
      </w:r>
      <w:r w:rsidR="0023567B">
        <w:t xml:space="preserve">permitting </w:t>
      </w:r>
      <w:r>
        <w:t>and final inspections of installed s</w:t>
      </w:r>
      <w:r w:rsidR="00475327">
        <w:t>eptic s</w:t>
      </w:r>
      <w:r>
        <w:t>ystems</w:t>
      </w:r>
    </w:p>
    <w:p w:rsidR="00384F38" w:rsidRDefault="0023567B" w:rsidP="00832CD0">
      <w:pPr>
        <w:pStyle w:val="NoSpacing"/>
      </w:pPr>
      <w:r>
        <w:tab/>
        <w:t xml:space="preserve">Investigation, </w:t>
      </w:r>
      <w:r w:rsidR="00384F38">
        <w:t>evaluation</w:t>
      </w:r>
      <w:r>
        <w:t xml:space="preserve"> and permitting of replacement</w:t>
      </w:r>
      <w:r w:rsidR="00763D04">
        <w:t xml:space="preserve"> for</w:t>
      </w:r>
      <w:r w:rsidR="00384F38">
        <w:t xml:space="preserve"> failed septic systems</w:t>
      </w:r>
    </w:p>
    <w:p w:rsidR="00384F38" w:rsidRDefault="00384F38" w:rsidP="00832CD0">
      <w:pPr>
        <w:pStyle w:val="NoSpacing"/>
      </w:pPr>
      <w:r>
        <w:tab/>
        <w:t xml:space="preserve">Approximately 60 permits </w:t>
      </w:r>
      <w:r w:rsidR="00763D04">
        <w:t>(</w:t>
      </w:r>
      <w:r w:rsidR="0023567B">
        <w:t xml:space="preserve">new and replacement) </w:t>
      </w:r>
      <w:r>
        <w:t>issued annually</w:t>
      </w:r>
    </w:p>
    <w:p w:rsidR="00440A0B" w:rsidRDefault="005F5083" w:rsidP="00832CD0">
      <w:pPr>
        <w:pStyle w:val="NoSpacing"/>
      </w:pPr>
      <w:r>
        <w:tab/>
        <w:t>Consultation and r</w:t>
      </w:r>
      <w:r w:rsidR="00440A0B">
        <w:t>ecord searches for property owners and realtors</w:t>
      </w:r>
    </w:p>
    <w:p w:rsidR="00384F38" w:rsidRDefault="00384F38" w:rsidP="00832CD0">
      <w:pPr>
        <w:pStyle w:val="NoSpacing"/>
      </w:pPr>
      <w:r>
        <w:tab/>
        <w:t>Certification and licensing of septic system installers</w:t>
      </w:r>
      <w:r w:rsidR="00B31CB6">
        <w:t xml:space="preserve"> 34</w:t>
      </w:r>
    </w:p>
    <w:p w:rsidR="00157856" w:rsidRDefault="00157856" w:rsidP="00832CD0">
      <w:pPr>
        <w:pStyle w:val="NoSpacing"/>
      </w:pPr>
    </w:p>
    <w:p w:rsidR="00157856" w:rsidRDefault="00157856" w:rsidP="00832CD0">
      <w:pPr>
        <w:pStyle w:val="NoSpacing"/>
        <w:rPr>
          <w:b/>
        </w:rPr>
      </w:pPr>
      <w:proofErr w:type="spellStart"/>
      <w:r w:rsidRPr="00157856">
        <w:rPr>
          <w:b/>
        </w:rPr>
        <w:t>GeoSMART</w:t>
      </w:r>
      <w:proofErr w:type="spellEnd"/>
      <w:r w:rsidRPr="00157856">
        <w:rPr>
          <w:b/>
        </w:rPr>
        <w:t xml:space="preserve"> GIS</w:t>
      </w:r>
    </w:p>
    <w:p w:rsidR="00157856" w:rsidRPr="00157856" w:rsidRDefault="00157856" w:rsidP="00157856">
      <w:pPr>
        <w:pStyle w:val="NoSpacing"/>
        <w:ind w:left="720"/>
      </w:pPr>
      <w:r>
        <w:t>Ongoing</w:t>
      </w:r>
      <w:r w:rsidRPr="00157856">
        <w:t xml:space="preserve"> participation with the Natrona Regional Geospatial Cooperative to provide public access to inspection reports and </w:t>
      </w:r>
      <w:r>
        <w:t>septic permit records. Currently inspection reports of food service and childcare facilities are accessible through links on the geospatial maps. Septic records require reformatting before they can be avai</w:t>
      </w:r>
      <w:r w:rsidR="008566D1">
        <w:t>lable on the geospatial website, this work is being conducted by student i</w:t>
      </w:r>
      <w:r>
        <w:t xml:space="preserve">nterns from </w:t>
      </w:r>
      <w:r w:rsidR="008566D1">
        <w:t xml:space="preserve">the </w:t>
      </w:r>
      <w:r>
        <w:t>Casper College GIS progr</w:t>
      </w:r>
      <w:r w:rsidR="008566D1">
        <w:t xml:space="preserve">am.  </w:t>
      </w:r>
    </w:p>
    <w:p w:rsidR="00384F38" w:rsidRDefault="00384F38" w:rsidP="00832CD0">
      <w:pPr>
        <w:pStyle w:val="NoSpacing"/>
      </w:pPr>
    </w:p>
    <w:p w:rsidR="00384F38" w:rsidRPr="0023567B" w:rsidRDefault="00384F38" w:rsidP="00832CD0">
      <w:pPr>
        <w:pStyle w:val="NoSpacing"/>
        <w:rPr>
          <w:b/>
        </w:rPr>
      </w:pPr>
      <w:r w:rsidRPr="0023567B">
        <w:rPr>
          <w:b/>
        </w:rPr>
        <w:t>Epi Investigation</w:t>
      </w:r>
    </w:p>
    <w:p w:rsidR="00384F38" w:rsidRDefault="009E794A" w:rsidP="00832CD0">
      <w:pPr>
        <w:pStyle w:val="NoSpacing"/>
      </w:pPr>
      <w:r>
        <w:tab/>
        <w:t>Follow up and questionnaires on reported enteric d</w:t>
      </w:r>
      <w:r w:rsidR="00384F38">
        <w:t>iseases</w:t>
      </w:r>
    </w:p>
    <w:p w:rsidR="009E794A" w:rsidRDefault="009E794A" w:rsidP="009E794A">
      <w:pPr>
        <w:pStyle w:val="NoSpacing"/>
        <w:ind w:left="720"/>
      </w:pPr>
      <w:r>
        <w:t xml:space="preserve"> Investigate outbreaks, collect and ship clinical specimens to state health lab, perform environmental assessments of implicated facilities</w:t>
      </w:r>
      <w:r w:rsidR="00763D04">
        <w:t>;</w:t>
      </w:r>
      <w:r w:rsidR="00763D04" w:rsidRPr="00763D04">
        <w:t xml:space="preserve"> </w:t>
      </w:r>
      <w:r w:rsidR="00763D04">
        <w:t>food service operations, daycares, schools, nursing homes</w:t>
      </w:r>
      <w:r w:rsidR="00763D04">
        <w:t>. P</w:t>
      </w:r>
      <w:r>
        <w:t>rovide education on cleaning, sanitation</w:t>
      </w:r>
      <w:r w:rsidR="00763D04">
        <w:t xml:space="preserve"> and</w:t>
      </w:r>
      <w:r>
        <w:t xml:space="preserve"> limiting t</w:t>
      </w:r>
      <w:r w:rsidR="00763D04">
        <w:t xml:space="preserve">he spread of the disease. </w:t>
      </w:r>
      <w:r>
        <w:t xml:space="preserve"> </w:t>
      </w:r>
    </w:p>
    <w:p w:rsidR="0086712A" w:rsidRDefault="0086712A" w:rsidP="009E794A">
      <w:pPr>
        <w:pStyle w:val="NoSpacing"/>
        <w:ind w:left="720"/>
      </w:pPr>
    </w:p>
    <w:p w:rsidR="00763D04" w:rsidRDefault="00763D04" w:rsidP="0086712A">
      <w:pPr>
        <w:pStyle w:val="NoSpacing"/>
        <w:rPr>
          <w:b/>
        </w:rPr>
      </w:pPr>
    </w:p>
    <w:p w:rsidR="00763D04" w:rsidRDefault="00763D04" w:rsidP="0086712A">
      <w:pPr>
        <w:pStyle w:val="NoSpacing"/>
        <w:rPr>
          <w:b/>
        </w:rPr>
      </w:pPr>
    </w:p>
    <w:p w:rsidR="0086712A" w:rsidRDefault="0086712A" w:rsidP="0086712A">
      <w:pPr>
        <w:pStyle w:val="NoSpacing"/>
        <w:rPr>
          <w:b/>
        </w:rPr>
      </w:pPr>
      <w:r>
        <w:rPr>
          <w:b/>
        </w:rPr>
        <w:lastRenderedPageBreak/>
        <w:t>Lead Program</w:t>
      </w:r>
    </w:p>
    <w:p w:rsidR="0086712A" w:rsidRPr="00426B24" w:rsidRDefault="0086712A" w:rsidP="0086712A">
      <w:pPr>
        <w:pStyle w:val="NoSpacing"/>
        <w:ind w:left="720"/>
      </w:pPr>
      <w:r>
        <w:t>In January 2018, follow up of reported elevated lead was transferred from the Wyoming Department of Health</w:t>
      </w:r>
      <w:r w:rsidR="00763D04">
        <w:t xml:space="preserve"> to Environmental Health</w:t>
      </w:r>
      <w:r>
        <w:t>. Questionnaires and educational handouts were developed. In addition to occupational exposures</w:t>
      </w:r>
      <w:r w:rsidR="00763D04">
        <w:t>,</w:t>
      </w:r>
      <w:r>
        <w:t xml:space="preserve"> there have been two pediatric </w:t>
      </w:r>
      <w:r w:rsidR="00763D04">
        <w:t>and one adult case</w:t>
      </w:r>
      <w:r>
        <w:t xml:space="preserve">. </w:t>
      </w:r>
    </w:p>
    <w:p w:rsidR="0086712A" w:rsidRDefault="0086712A" w:rsidP="00832CD0">
      <w:pPr>
        <w:pStyle w:val="NoSpacing"/>
        <w:rPr>
          <w:b/>
        </w:rPr>
      </w:pPr>
    </w:p>
    <w:p w:rsidR="00384F38" w:rsidRPr="0023567B" w:rsidRDefault="0023567B" w:rsidP="00832CD0">
      <w:pPr>
        <w:pStyle w:val="NoSpacing"/>
        <w:rPr>
          <w:b/>
        </w:rPr>
      </w:pPr>
      <w:r>
        <w:rPr>
          <w:b/>
        </w:rPr>
        <w:t>Animal bite/</w:t>
      </w:r>
      <w:r w:rsidR="00384F38" w:rsidRPr="0023567B">
        <w:rPr>
          <w:b/>
        </w:rPr>
        <w:t>Rabies</w:t>
      </w:r>
      <w:r>
        <w:rPr>
          <w:b/>
        </w:rPr>
        <w:t xml:space="preserve"> prophylaxis </w:t>
      </w:r>
    </w:p>
    <w:p w:rsidR="000F5338" w:rsidRDefault="000F5338" w:rsidP="00832CD0">
      <w:pPr>
        <w:pStyle w:val="NoSpacing"/>
      </w:pPr>
      <w:r>
        <w:tab/>
        <w:t>Patient follow up of reported animal bites</w:t>
      </w:r>
      <w:r w:rsidR="004C4C5B">
        <w:t>, coordinate prophylaxis when indicated</w:t>
      </w:r>
    </w:p>
    <w:p w:rsidR="0023567B" w:rsidRDefault="0023567B" w:rsidP="00832CD0">
      <w:pPr>
        <w:pStyle w:val="NoSpacing"/>
      </w:pPr>
      <w:r>
        <w:tab/>
        <w:t>Number of bites reported by year</w:t>
      </w:r>
    </w:p>
    <w:p w:rsidR="0023567B" w:rsidRDefault="0023567B" w:rsidP="00832CD0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990"/>
        <w:gridCol w:w="990"/>
      </w:tblGrid>
      <w:tr w:rsidR="0023567B" w:rsidTr="00985494">
        <w:tc>
          <w:tcPr>
            <w:tcW w:w="990" w:type="dxa"/>
          </w:tcPr>
          <w:p w:rsidR="0023567B" w:rsidRDefault="0023567B" w:rsidP="0023567B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990" w:type="dxa"/>
          </w:tcPr>
          <w:p w:rsidR="0023567B" w:rsidRDefault="0023567B" w:rsidP="0023567B">
            <w:pPr>
              <w:pStyle w:val="NoSpacing"/>
              <w:jc w:val="center"/>
            </w:pPr>
            <w:r>
              <w:t>207</w:t>
            </w:r>
          </w:p>
        </w:tc>
      </w:tr>
      <w:tr w:rsidR="0023567B" w:rsidTr="00985494">
        <w:tc>
          <w:tcPr>
            <w:tcW w:w="990" w:type="dxa"/>
          </w:tcPr>
          <w:p w:rsidR="0023567B" w:rsidRDefault="0023567B" w:rsidP="0023567B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990" w:type="dxa"/>
          </w:tcPr>
          <w:p w:rsidR="0023567B" w:rsidRDefault="0023567B" w:rsidP="0023567B">
            <w:pPr>
              <w:pStyle w:val="NoSpacing"/>
              <w:jc w:val="center"/>
            </w:pPr>
            <w:r>
              <w:t>151</w:t>
            </w:r>
          </w:p>
        </w:tc>
      </w:tr>
      <w:tr w:rsidR="0023567B" w:rsidTr="00985494">
        <w:tc>
          <w:tcPr>
            <w:tcW w:w="990" w:type="dxa"/>
          </w:tcPr>
          <w:p w:rsidR="0023567B" w:rsidRDefault="0023567B" w:rsidP="0023567B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990" w:type="dxa"/>
          </w:tcPr>
          <w:p w:rsidR="0023567B" w:rsidRDefault="00985494" w:rsidP="0023567B">
            <w:pPr>
              <w:pStyle w:val="NoSpacing"/>
              <w:jc w:val="center"/>
            </w:pPr>
            <w:r>
              <w:t>233</w:t>
            </w:r>
          </w:p>
        </w:tc>
      </w:tr>
      <w:tr w:rsidR="0023567B" w:rsidTr="00985494">
        <w:tc>
          <w:tcPr>
            <w:tcW w:w="990" w:type="dxa"/>
          </w:tcPr>
          <w:p w:rsidR="0023567B" w:rsidRDefault="0023567B" w:rsidP="0023567B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990" w:type="dxa"/>
          </w:tcPr>
          <w:p w:rsidR="0023567B" w:rsidRDefault="00985494" w:rsidP="0023567B">
            <w:pPr>
              <w:pStyle w:val="NoSpacing"/>
              <w:jc w:val="center"/>
            </w:pPr>
            <w:r>
              <w:t>219</w:t>
            </w:r>
          </w:p>
        </w:tc>
      </w:tr>
      <w:tr w:rsidR="0023567B" w:rsidTr="00C10E42">
        <w:trPr>
          <w:trHeight w:val="350"/>
        </w:trPr>
        <w:tc>
          <w:tcPr>
            <w:tcW w:w="990" w:type="dxa"/>
          </w:tcPr>
          <w:p w:rsidR="0023567B" w:rsidRDefault="0023567B" w:rsidP="0023567B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990" w:type="dxa"/>
          </w:tcPr>
          <w:p w:rsidR="00C10E42" w:rsidRDefault="00985494" w:rsidP="00C10E42">
            <w:pPr>
              <w:pStyle w:val="NoSpacing"/>
              <w:jc w:val="center"/>
            </w:pPr>
            <w:r>
              <w:t>134</w:t>
            </w:r>
          </w:p>
        </w:tc>
      </w:tr>
    </w:tbl>
    <w:p w:rsidR="00426B24" w:rsidRDefault="00426B24" w:rsidP="00832CD0">
      <w:pPr>
        <w:pStyle w:val="NoSpacing"/>
        <w:rPr>
          <w:b/>
        </w:rPr>
      </w:pPr>
    </w:p>
    <w:p w:rsidR="00384F38" w:rsidRDefault="00475327" w:rsidP="00832CD0">
      <w:pPr>
        <w:pStyle w:val="NoSpacing"/>
        <w:rPr>
          <w:b/>
        </w:rPr>
      </w:pPr>
      <w:r w:rsidRPr="00475327">
        <w:rPr>
          <w:b/>
        </w:rPr>
        <w:t>Community Inquiries</w:t>
      </w:r>
      <w:r w:rsidR="00426B24">
        <w:rPr>
          <w:b/>
        </w:rPr>
        <w:t xml:space="preserve">/Education </w:t>
      </w:r>
    </w:p>
    <w:p w:rsidR="00475327" w:rsidRDefault="00475327" w:rsidP="00832CD0">
      <w:pPr>
        <w:pStyle w:val="NoSpacing"/>
      </w:pPr>
      <w:r>
        <w:rPr>
          <w:b/>
        </w:rPr>
        <w:tab/>
      </w:r>
      <w:r w:rsidRPr="00475327">
        <w:t>Housing inquiries</w:t>
      </w:r>
      <w:r>
        <w:t xml:space="preserve"> regarding mold, bed bugs, insects in general, unsanitary conditions.</w:t>
      </w:r>
    </w:p>
    <w:p w:rsidR="00F4723C" w:rsidRDefault="00F4723C" w:rsidP="00832CD0">
      <w:pPr>
        <w:pStyle w:val="NoSpacing"/>
      </w:pPr>
      <w:r>
        <w:tab/>
        <w:t>Illegal dumping, garbage complaints, surfacing sewage</w:t>
      </w:r>
    </w:p>
    <w:p w:rsidR="00F4723C" w:rsidRDefault="00F4723C" w:rsidP="00832CD0">
      <w:pPr>
        <w:pStyle w:val="NoSpacing"/>
      </w:pPr>
      <w:r>
        <w:tab/>
        <w:t>Housing assessments for Department of Family Services</w:t>
      </w:r>
    </w:p>
    <w:p w:rsidR="00F4723C" w:rsidRPr="00475327" w:rsidRDefault="00F4723C" w:rsidP="004C4C5B">
      <w:pPr>
        <w:pStyle w:val="NoSpacing"/>
        <w:ind w:left="720"/>
      </w:pPr>
      <w:bookmarkStart w:id="0" w:name="_GoBack"/>
      <w:bookmarkEnd w:id="0"/>
      <w:r>
        <w:t>Facility walk through and assessment with prospective buyers</w:t>
      </w:r>
      <w:r w:rsidR="004C4C5B">
        <w:t xml:space="preserve"> of either food facilities or childcare facilities.</w:t>
      </w:r>
    </w:p>
    <w:p w:rsidR="006338A9" w:rsidRDefault="006338A9" w:rsidP="006338A9">
      <w:pPr>
        <w:widowControl w:val="0"/>
        <w:rPr>
          <w:rFonts w:ascii="Calibri" w:hAnsi="Calibri" w:cs="Calibri"/>
          <w:b/>
          <w:sz w:val="24"/>
          <w:szCs w:val="24"/>
          <w14:ligatures w14:val="none"/>
        </w:rPr>
      </w:pPr>
    </w:p>
    <w:p w:rsidR="006338A9" w:rsidRPr="006338A9" w:rsidRDefault="006338A9" w:rsidP="006338A9">
      <w:pPr>
        <w:widowControl w:val="0"/>
        <w:rPr>
          <w:rFonts w:ascii="Calibri" w:hAnsi="Calibri" w:cs="Calibri"/>
          <w:b/>
          <w:sz w:val="24"/>
          <w:szCs w:val="24"/>
          <w14:ligatures w14:val="none"/>
        </w:rPr>
      </w:pPr>
      <w:r w:rsidRPr="006338A9">
        <w:rPr>
          <w:rFonts w:ascii="Calibri" w:hAnsi="Calibri" w:cs="Calibri"/>
          <w:b/>
          <w:sz w:val="24"/>
          <w:szCs w:val="24"/>
          <w14:ligatures w14:val="none"/>
        </w:rPr>
        <w:t>Multi Agency Partners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Town of Mills, Evansville and Midwest Edgerton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City of Casper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ab/>
        <w:t>Planning and Development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ab/>
        <w:t>Building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ab/>
        <w:t>Fire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ab/>
        <w:t>Code Enforcement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Natrona County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ab/>
      </w:r>
      <w:r>
        <w:rPr>
          <w:rFonts w:ascii="Calibri" w:hAnsi="Calibri" w:cs="Calibri"/>
          <w:sz w:val="24"/>
          <w:szCs w:val="24"/>
          <w14:ligatures w14:val="none"/>
        </w:rPr>
        <w:t>Planning and Development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ab/>
        <w:t>Building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ab/>
        <w:t>Fire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ab/>
        <w:t>Code Enforcement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Wyoming Department of Environmental Quality, Water Quality Division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Wyoming Department of Agriculture, Consumer Health Services</w:t>
      </w:r>
    </w:p>
    <w:p w:rsidR="006338A9" w:rsidRDefault="006338A9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Wyoming Department of Family Services, Early Childhood Division, Social Services</w:t>
      </w:r>
    </w:p>
    <w:p w:rsidR="006338A9" w:rsidRDefault="00AD2A94" w:rsidP="006338A9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Wyoming Department of Health, Public Health Sciences Section</w:t>
      </w:r>
    </w:p>
    <w:p w:rsidR="00133F59" w:rsidRPr="006338A9" w:rsidRDefault="00133F59" w:rsidP="00133F59">
      <w:pPr>
        <w:widowControl w:val="0"/>
        <w:rPr>
          <w:rFonts w:ascii="Calibri" w:hAnsi="Calibri" w:cs="Calibri"/>
          <w14:ligatures w14:val="none"/>
        </w:rPr>
      </w:pPr>
      <w:r w:rsidRPr="006338A9">
        <w:rPr>
          <w:rFonts w:ascii="Calibri" w:hAnsi="Calibri" w:cs="Calibri"/>
          <w14:ligatures w14:val="none"/>
        </w:rPr>
        <w:t> </w:t>
      </w:r>
    </w:p>
    <w:p w:rsidR="00832CD0" w:rsidRDefault="00832CD0" w:rsidP="00832CD0">
      <w:pPr>
        <w:pStyle w:val="NoSpacing"/>
      </w:pPr>
    </w:p>
    <w:p w:rsidR="00832CD0" w:rsidRDefault="00832CD0" w:rsidP="00832CD0">
      <w:pPr>
        <w:pStyle w:val="NoSpacing"/>
      </w:pPr>
    </w:p>
    <w:p w:rsidR="00832CD0" w:rsidRDefault="00832CD0" w:rsidP="00832CD0">
      <w:pPr>
        <w:pStyle w:val="NoSpacing"/>
      </w:pPr>
    </w:p>
    <w:sectPr w:rsidR="0083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D0"/>
    <w:rsid w:val="0008486F"/>
    <w:rsid w:val="000F5338"/>
    <w:rsid w:val="00133F59"/>
    <w:rsid w:val="00157856"/>
    <w:rsid w:val="0023567B"/>
    <w:rsid w:val="00384F38"/>
    <w:rsid w:val="00426B24"/>
    <w:rsid w:val="00440A0B"/>
    <w:rsid w:val="00475327"/>
    <w:rsid w:val="004C4C5B"/>
    <w:rsid w:val="00553C8F"/>
    <w:rsid w:val="005F5083"/>
    <w:rsid w:val="006338A9"/>
    <w:rsid w:val="00763D04"/>
    <w:rsid w:val="007A26D6"/>
    <w:rsid w:val="00832CD0"/>
    <w:rsid w:val="008566D1"/>
    <w:rsid w:val="0086712A"/>
    <w:rsid w:val="00985494"/>
    <w:rsid w:val="009E794A"/>
    <w:rsid w:val="00AC7AC5"/>
    <w:rsid w:val="00AD2A94"/>
    <w:rsid w:val="00B31CB6"/>
    <w:rsid w:val="00C10E42"/>
    <w:rsid w:val="00CB43BA"/>
    <w:rsid w:val="00E633BD"/>
    <w:rsid w:val="00F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3C28"/>
  <w15:chartTrackingRefBased/>
  <w15:docId w15:val="{681ED546-2128-4F92-AAF4-EB3BC08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CD0"/>
    <w:pPr>
      <w:spacing w:after="0" w:line="240" w:lineRule="auto"/>
    </w:pPr>
  </w:style>
  <w:style w:type="table" w:styleId="TableGrid">
    <w:name w:val="Table Grid"/>
    <w:basedOn w:val="TableNormal"/>
    <w:uiPriority w:val="39"/>
    <w:rsid w:val="0023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Heald</dc:creator>
  <cp:keywords/>
  <dc:description/>
  <cp:lastModifiedBy>Ruth Heald</cp:lastModifiedBy>
  <cp:revision>18</cp:revision>
  <dcterms:created xsi:type="dcterms:W3CDTF">2018-05-21T22:41:00Z</dcterms:created>
  <dcterms:modified xsi:type="dcterms:W3CDTF">2018-05-24T23:07:00Z</dcterms:modified>
</cp:coreProperties>
</file>